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67" w:rsidRPr="00184067" w:rsidRDefault="00184067" w:rsidP="00184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</w:rPr>
      </w:pPr>
      <w:bookmarkStart w:id="0" w:name="_GoBack"/>
      <w:bookmarkEnd w:id="0"/>
      <w:r w:rsidRPr="00184067">
        <w:rPr>
          <w:rFonts w:ascii="Arial" w:eastAsia="Times New Roman" w:hAnsi="Arial" w:cs="Arial"/>
          <w:b/>
          <w:bCs/>
          <w:color w:val="263683"/>
          <w:sz w:val="17"/>
        </w:rPr>
        <w:t xml:space="preserve">ПРОЕКТ TEMPUS в </w:t>
      </w:r>
      <w:r>
        <w:rPr>
          <w:rFonts w:ascii="Arial" w:eastAsia="Times New Roman" w:hAnsi="Arial" w:cs="Arial"/>
          <w:b/>
          <w:bCs/>
          <w:color w:val="263683"/>
          <w:sz w:val="17"/>
        </w:rPr>
        <w:t>РГПУ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</w:rPr>
        <w:drawing>
          <wp:inline distT="0" distB="0" distL="0" distR="0">
            <wp:extent cx="1264920" cy="754380"/>
            <wp:effectExtent l="19050" t="0" r="0" b="0"/>
            <wp:docPr id="1" name="Рисунок 1" descr="http://nggu.ru/ru/otd_international/1283/prev_small_e3m_logo_1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ggu.ru/ru/otd_international/1283/prev_small_e3m_logo_1500px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b/>
          <w:bCs/>
          <w:color w:val="000080"/>
          <w:sz w:val="14"/>
        </w:rPr>
        <w:t>Е3М «Оценка качества сотрудничества в образовательной экосистеме как механизм формированияпрофессиональных компетенций»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color w:val="333333"/>
          <w:sz w:val="14"/>
          <w:szCs w:val="14"/>
        </w:rPr>
        <w:t>                                                                                    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>
        <w:rPr>
          <w:rFonts w:ascii="Arial" w:eastAsia="Times New Roman" w:hAnsi="Arial" w:cs="Arial"/>
          <w:noProof/>
          <w:color w:val="333333"/>
          <w:sz w:val="14"/>
          <w:szCs w:val="14"/>
        </w:rPr>
        <w:drawing>
          <wp:inline distT="0" distB="0" distL="0" distR="0">
            <wp:extent cx="1905000" cy="731520"/>
            <wp:effectExtent l="19050" t="0" r="0" b="0"/>
            <wp:docPr id="2" name="Рисунок 2" descr="http://nggu.ru/ru/otd_international/1283/prev_small_eu_flag_te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ggu.ru/ru/otd_international/1283/prev_small_eu_flag_tempu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b/>
          <w:bCs/>
          <w:color w:val="333333"/>
          <w:sz w:val="14"/>
        </w:rPr>
        <w:t>Проект финансируется при поддержке</w:t>
      </w:r>
      <w:r w:rsidRPr="00184067">
        <w:rPr>
          <w:rFonts w:ascii="Arial" w:eastAsia="Times New Roman" w:hAnsi="Arial" w:cs="Arial"/>
          <w:b/>
          <w:bCs/>
          <w:color w:val="333333"/>
          <w:sz w:val="14"/>
          <w:szCs w:val="14"/>
        </w:rPr>
        <w:br/>
      </w:r>
      <w:r w:rsidRPr="00184067">
        <w:rPr>
          <w:rFonts w:ascii="Arial" w:eastAsia="Times New Roman" w:hAnsi="Arial" w:cs="Arial"/>
          <w:b/>
          <w:bCs/>
          <w:color w:val="333333"/>
          <w:sz w:val="14"/>
        </w:rPr>
        <w:t>Европейской Комиссии</w:t>
      </w:r>
    </w:p>
    <w:p w:rsid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</w:p>
    <w:p w:rsidR="00184067" w:rsidRDefault="00184067" w:rsidP="00184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Российский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государственный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педагогический  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университет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является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членом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консорциума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по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реализации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>
        <w:rPr>
          <w:rFonts w:ascii="Arial" w:eastAsia="Times New Roman" w:hAnsi="Arial" w:cs="Arial"/>
          <w:color w:val="333333"/>
          <w:sz w:val="14"/>
        </w:rPr>
        <w:t xml:space="preserve"> 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проекта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b/>
          <w:bCs/>
          <w:color w:val="333333"/>
          <w:sz w:val="14"/>
        </w:rPr>
        <w:t>Е3М «Оценка качества</w:t>
      </w:r>
      <w:r>
        <w:rPr>
          <w:rFonts w:ascii="Arial" w:eastAsia="Times New Roman" w:hAnsi="Arial" w:cs="Arial"/>
          <w:b/>
          <w:bCs/>
          <w:color w:val="333333"/>
          <w:sz w:val="14"/>
        </w:rPr>
        <w:t xml:space="preserve"> </w:t>
      </w:r>
      <w:r w:rsidRPr="00184067">
        <w:rPr>
          <w:rFonts w:ascii="Arial" w:eastAsia="Times New Roman" w:hAnsi="Arial" w:cs="Arial"/>
          <w:b/>
          <w:bCs/>
          <w:color w:val="333333"/>
          <w:sz w:val="14"/>
        </w:rPr>
        <w:t>сотрудничества в образовательной</w:t>
      </w:r>
      <w:r>
        <w:rPr>
          <w:rFonts w:ascii="Arial" w:eastAsia="Times New Roman" w:hAnsi="Arial" w:cs="Arial"/>
          <w:b/>
          <w:bCs/>
          <w:color w:val="333333"/>
          <w:sz w:val="14"/>
        </w:rPr>
        <w:t xml:space="preserve"> </w:t>
      </w:r>
      <w:r w:rsidRPr="00184067">
        <w:rPr>
          <w:rFonts w:ascii="Arial" w:eastAsia="Times New Roman" w:hAnsi="Arial" w:cs="Arial"/>
          <w:b/>
          <w:bCs/>
          <w:color w:val="333333"/>
          <w:sz w:val="14"/>
        </w:rPr>
        <w:t> экосистеме как механизм формирования профессиональных компетенций»,</w:t>
      </w:r>
      <w:r>
        <w:rPr>
          <w:rFonts w:ascii="Arial" w:eastAsia="Times New Roman" w:hAnsi="Arial" w:cs="Arial"/>
          <w:b/>
          <w:bCs/>
          <w:color w:val="333333"/>
          <w:sz w:val="14"/>
        </w:rPr>
        <w:t xml:space="preserve"> 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одобренного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к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>
        <w:rPr>
          <w:rFonts w:ascii="Arial" w:eastAsia="Times New Roman" w:hAnsi="Arial" w:cs="Arial"/>
          <w:color w:val="333333"/>
          <w:sz w:val="14"/>
        </w:rPr>
        <w:t xml:space="preserve"> 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финансированиюпо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итогам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проведения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6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конкурса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проектных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заявок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в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рамках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программы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Европейской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Комиссии</w:t>
      </w:r>
      <w:r w:rsidRPr="00184067">
        <w:rPr>
          <w:rFonts w:ascii="Arial" w:eastAsia="Times New Roman" w:hAnsi="Arial" w:cs="Arial"/>
          <w:b/>
          <w:bCs/>
          <w:color w:val="333333"/>
          <w:sz w:val="14"/>
        </w:rPr>
        <w:t>Темпус IV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2013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года. В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состав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консорциума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проекта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также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вошли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11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партнеров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из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Финляндии,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Испании, Австрии,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Бельгии,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России.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Российский государственный педагогический университет представлен двумя подразделениями – институтом детства и институтом экономики и управления.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b/>
          <w:bCs/>
          <w:color w:val="000080"/>
          <w:sz w:val="14"/>
        </w:rPr>
        <w:t>Краткое описание проекта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b/>
          <w:bCs/>
          <w:color w:val="333333"/>
          <w:sz w:val="14"/>
        </w:rPr>
        <w:t>Номер проекта: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2013-5503/001-001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val="en-US"/>
        </w:rPr>
      </w:pPr>
      <w:r w:rsidRPr="00184067">
        <w:rPr>
          <w:rFonts w:ascii="Arial" w:eastAsia="Times New Roman" w:hAnsi="Arial" w:cs="Arial"/>
          <w:b/>
          <w:bCs/>
          <w:color w:val="333333"/>
          <w:sz w:val="14"/>
        </w:rPr>
        <w:t>Название</w:t>
      </w:r>
      <w:r w:rsidRPr="00184067">
        <w:rPr>
          <w:rFonts w:ascii="Arial" w:eastAsia="Times New Roman" w:hAnsi="Arial" w:cs="Arial"/>
          <w:b/>
          <w:bCs/>
          <w:color w:val="333333"/>
          <w:sz w:val="14"/>
          <w:lang w:val="en-US"/>
        </w:rPr>
        <w:t> </w:t>
      </w:r>
      <w:r w:rsidRPr="00184067">
        <w:rPr>
          <w:rFonts w:ascii="Arial" w:eastAsia="Times New Roman" w:hAnsi="Arial" w:cs="Arial"/>
          <w:b/>
          <w:bCs/>
          <w:color w:val="333333"/>
          <w:sz w:val="14"/>
        </w:rPr>
        <w:t>проекта</w:t>
      </w:r>
      <w:r w:rsidRPr="00184067">
        <w:rPr>
          <w:rFonts w:ascii="Arial" w:eastAsia="Times New Roman" w:hAnsi="Arial" w:cs="Arial"/>
          <w:color w:val="333333"/>
          <w:sz w:val="14"/>
          <w:szCs w:val="14"/>
          <w:lang w:val="en-US"/>
        </w:rPr>
        <w:t>: «Evaluation of Quality of Cooperation in Education</w:t>
      </w:r>
      <w:proofErr w:type="gramStart"/>
      <w:r w:rsidRPr="00184067">
        <w:rPr>
          <w:rFonts w:ascii="Arial" w:eastAsia="Times New Roman" w:hAnsi="Arial" w:cs="Arial"/>
          <w:color w:val="333333"/>
          <w:sz w:val="14"/>
          <w:szCs w:val="14"/>
          <w:lang w:val="en-US"/>
        </w:rPr>
        <w:t>  Ecosystem</w:t>
      </w:r>
      <w:proofErr w:type="gramEnd"/>
      <w:r w:rsidRPr="00184067">
        <w:rPr>
          <w:rFonts w:ascii="Arial" w:eastAsia="Times New Roman" w:hAnsi="Arial" w:cs="Arial"/>
          <w:color w:val="333333"/>
          <w:sz w:val="14"/>
          <w:szCs w:val="14"/>
          <w:lang w:val="en-US"/>
        </w:rPr>
        <w:t xml:space="preserve"> as a Mechanism for Building Professional Competencies»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color w:val="333333"/>
          <w:sz w:val="14"/>
          <w:szCs w:val="14"/>
        </w:rPr>
        <w:t>«Оценка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качества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сотрудничества в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образовательной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экосистеме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как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механизм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формирования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профессиональных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компетенций»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b/>
          <w:bCs/>
          <w:color w:val="333333"/>
          <w:sz w:val="14"/>
        </w:rPr>
        <w:t>Акроним проекта: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Е3М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b/>
          <w:bCs/>
          <w:color w:val="333333"/>
          <w:sz w:val="14"/>
        </w:rPr>
        <w:t>Сроки реализации: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декабрь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2013 –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октябрь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2016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b/>
          <w:bCs/>
          <w:color w:val="333333"/>
          <w:sz w:val="14"/>
        </w:rPr>
        <w:t>Тип проекта: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совместный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проект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b/>
          <w:bCs/>
          <w:color w:val="333333"/>
          <w:sz w:val="14"/>
        </w:rPr>
        <w:t>Состав консорциума: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11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партнеров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из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5</w:t>
      </w:r>
      <w:r w:rsidRPr="00184067">
        <w:rPr>
          <w:rFonts w:ascii="Arial" w:eastAsia="Times New Roman" w:hAnsi="Arial" w:cs="Arial"/>
          <w:color w:val="333333"/>
          <w:sz w:val="14"/>
        </w:rPr>
        <w:t> 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стран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b/>
          <w:bCs/>
          <w:color w:val="333333"/>
          <w:sz w:val="14"/>
          <w:szCs w:val="14"/>
        </w:rPr>
        <w:t>Вебсайт</w:t>
      </w:r>
      <w:r w:rsidRPr="00184067">
        <w:rPr>
          <w:rFonts w:ascii="Arial" w:eastAsia="Times New Roman" w:hAnsi="Arial" w:cs="Arial"/>
          <w:b/>
          <w:bCs/>
          <w:color w:val="333333"/>
          <w:sz w:val="14"/>
        </w:rPr>
        <w:t> </w:t>
      </w:r>
      <w:r w:rsidRPr="00184067">
        <w:rPr>
          <w:rFonts w:ascii="Arial" w:eastAsia="Times New Roman" w:hAnsi="Arial" w:cs="Arial"/>
          <w:b/>
          <w:bCs/>
          <w:color w:val="333333"/>
          <w:sz w:val="14"/>
          <w:szCs w:val="14"/>
        </w:rPr>
        <w:t>проекта</w:t>
      </w:r>
      <w:r w:rsidRPr="00184067">
        <w:rPr>
          <w:rFonts w:ascii="Arial" w:eastAsia="Times New Roman" w:hAnsi="Arial" w:cs="Arial"/>
          <w:color w:val="333333"/>
          <w:sz w:val="14"/>
          <w:szCs w:val="14"/>
        </w:rPr>
        <w:t>: </w:t>
      </w:r>
      <w:hyperlink r:id="rId8" w:tgtFrame="_blank" w:history="1">
        <w:r w:rsidRPr="00184067">
          <w:rPr>
            <w:rFonts w:ascii="Arial" w:eastAsia="Times New Roman" w:hAnsi="Arial" w:cs="Arial"/>
            <w:color w:val="006600"/>
            <w:sz w:val="14"/>
            <w:u w:val="single"/>
          </w:rPr>
          <w:t>http://tempus-e3m.com/</w:t>
        </w:r>
      </w:hyperlink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b/>
          <w:bCs/>
          <w:color w:val="000080"/>
          <w:sz w:val="14"/>
        </w:rPr>
        <w:t>КОНСОРЦИУМ ПРОЕКТА</w:t>
      </w:r>
    </w:p>
    <w:tbl>
      <w:tblPr>
        <w:tblW w:w="0" w:type="auto"/>
        <w:jc w:val="center"/>
        <w:tblCellSpacing w:w="0" w:type="dxa"/>
        <w:tblBorders>
          <w:top w:val="single" w:sz="4" w:space="0" w:color="003399"/>
          <w:left w:val="single" w:sz="4" w:space="0" w:color="003399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4398"/>
        <w:gridCol w:w="1927"/>
      </w:tblGrid>
      <w:tr w:rsidR="00184067" w:rsidRPr="00184067" w:rsidTr="00184067">
        <w:trPr>
          <w:tblCellSpacing w:w="0" w:type="dxa"/>
          <w:jc w:val="center"/>
        </w:trPr>
        <w:tc>
          <w:tcPr>
            <w:tcW w:w="2508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000099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Логотип</w:t>
            </w:r>
          </w:p>
        </w:tc>
        <w:tc>
          <w:tcPr>
            <w:tcW w:w="2508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000099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Наименование учреждения</w:t>
            </w:r>
          </w:p>
        </w:tc>
        <w:tc>
          <w:tcPr>
            <w:tcW w:w="2004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000099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Роль в проекте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 </w:t>
            </w:r>
          </w:p>
        </w:tc>
      </w:tr>
      <w:tr w:rsidR="00184067" w:rsidRPr="00184067" w:rsidTr="00184067">
        <w:trPr>
          <w:tblCellSpacing w:w="0" w:type="dxa"/>
          <w:jc w:val="center"/>
        </w:trPr>
        <w:tc>
          <w:tcPr>
            <w:tcW w:w="2508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>
                  <wp:extent cx="1905000" cy="388620"/>
                  <wp:effectExtent l="19050" t="0" r="0" b="0"/>
                  <wp:docPr id="3" name="Рисунок 3" descr="http://nggu.ru/ru/otd_international/1283/prev_small_jam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ggu.ru/ru/otd_international/1283/prev_small_jam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JAMK университет прикладных наук 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 xml:space="preserve">(г. </w:t>
            </w:r>
            <w:proofErr w:type="spellStart"/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Ювяскюля</w:t>
            </w:r>
            <w:proofErr w:type="spellEnd"/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, Финляндия)/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JAMK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  <w:lang w:val="en-US"/>
              </w:rPr>
              <w:t> 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University of  Applied Sciences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(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Jyväskylä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, Finland)</w:t>
            </w:r>
          </w:p>
        </w:tc>
        <w:tc>
          <w:tcPr>
            <w:tcW w:w="2004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Координатор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</w:rPr>
              <w:t> 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проекта</w:t>
            </w:r>
          </w:p>
        </w:tc>
      </w:tr>
      <w:tr w:rsidR="00184067" w:rsidRPr="00184067" w:rsidTr="00184067">
        <w:trPr>
          <w:tblCellSpacing w:w="0" w:type="dxa"/>
          <w:jc w:val="center"/>
        </w:trPr>
        <w:tc>
          <w:tcPr>
            <w:tcW w:w="2508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4" name="Рисунок 4" descr="http://nggu.ru/ru/otd_international/1283/prev_small_NVGU%20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ggu.ru/ru/otd_international/1283/prev_small_NVGU%20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proofErr w:type="spellStart"/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Нижневартовский</w:t>
            </w:r>
            <w:proofErr w:type="spellEnd"/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 </w:t>
            </w:r>
            <w:proofErr w:type="spellStart"/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государственныйуниверситет</w:t>
            </w:r>
            <w:proofErr w:type="spellEnd"/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(г. Нижневартовск, Россия) /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Nizhnevartovsk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  <w:lang w:val="en-US"/>
              </w:rPr>
              <w:t> 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State University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(Nizhnevartovsk, Russia)</w:t>
            </w:r>
          </w:p>
        </w:tc>
        <w:tc>
          <w:tcPr>
            <w:tcW w:w="2004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Координатор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</w:rPr>
              <w:t> 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проекта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</w:rPr>
              <w:t> 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с</w:t>
            </w:r>
            <w:r w:rsidR="00C56DC1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 xml:space="preserve"> 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российской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</w:rPr>
              <w:t> 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стороны</w:t>
            </w:r>
          </w:p>
        </w:tc>
      </w:tr>
      <w:tr w:rsidR="00184067" w:rsidRPr="00184067" w:rsidTr="00184067">
        <w:trPr>
          <w:tblCellSpacing w:w="0" w:type="dxa"/>
          <w:jc w:val="center"/>
        </w:trPr>
        <w:tc>
          <w:tcPr>
            <w:tcW w:w="2508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>
                  <wp:extent cx="1295400" cy="1112520"/>
                  <wp:effectExtent l="19050" t="0" r="0" b="0"/>
                  <wp:docPr id="5" name="Рисунок 5" descr="http://nggu.ru/ru/otd_international/1283/prev_small_Girona-udg-dues-linies_blau9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ggu.ru/ru/otd_international/1283/prev_small_Girona-udg-dues-linies_blau9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Университет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 </w:t>
            </w:r>
            <w:proofErr w:type="spellStart"/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Жироны</w:t>
            </w:r>
            <w:proofErr w:type="spellEnd"/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en-US"/>
              </w:rPr>
              <w:t>(</w:t>
            </w: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Испания</w:t>
            </w: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en-US"/>
              </w:rPr>
              <w:t>) /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University of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  <w:lang w:val="en-US"/>
              </w:rPr>
              <w:t> 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Girona</w:t>
            </w:r>
            <w:proofErr w:type="spellEnd"/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(Spain)</w:t>
            </w:r>
          </w:p>
        </w:tc>
        <w:tc>
          <w:tcPr>
            <w:tcW w:w="2004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Партнер</w:t>
            </w:r>
          </w:p>
        </w:tc>
      </w:tr>
      <w:tr w:rsidR="00184067" w:rsidRPr="00184067" w:rsidTr="00184067">
        <w:trPr>
          <w:tblCellSpacing w:w="0" w:type="dxa"/>
          <w:jc w:val="center"/>
        </w:trPr>
        <w:tc>
          <w:tcPr>
            <w:tcW w:w="2508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>
                  <wp:extent cx="1432560" cy="1531620"/>
                  <wp:effectExtent l="19050" t="0" r="0" b="0"/>
                  <wp:docPr id="6" name="Рисунок 6" descr="http://nggu.ru/ru/otd_international/1283/prev_small_id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ggu.ru/ru/otd_international/1283/prev_small_id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Академия труда и социальных отношений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(г. Москва, Россия) /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Educational Institution of  Trade Unions  &amp; Higher Professional Education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(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Moscow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 xml:space="preserve">, 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Russia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)</w:t>
            </w:r>
          </w:p>
        </w:tc>
        <w:tc>
          <w:tcPr>
            <w:tcW w:w="2004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партнер</w:t>
            </w:r>
          </w:p>
        </w:tc>
      </w:tr>
      <w:tr w:rsidR="00184067" w:rsidRPr="00184067" w:rsidTr="00184067">
        <w:trPr>
          <w:tblCellSpacing w:w="0" w:type="dxa"/>
          <w:jc w:val="center"/>
        </w:trPr>
        <w:tc>
          <w:tcPr>
            <w:tcW w:w="2508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>
                  <wp:extent cx="1905000" cy="944880"/>
                  <wp:effectExtent l="19050" t="0" r="0" b="0"/>
                  <wp:docPr id="7" name="Рисунок 7" descr="http://nggu.ru/ru/otd_international/1283/prev_small_Artesis%20Plantijn%20Hoge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ggu.ru/ru/otd_international/1283/prev_small_Artesis%20Plantijn%20Hoge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Университетский колледж </w:t>
            </w:r>
            <w:proofErr w:type="spellStart"/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Арте</w:t>
            </w:r>
            <w:proofErr w:type="gramStart"/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p</w:t>
            </w:r>
            <w:proofErr w:type="gramEnd"/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ис-Плантейн</w:t>
            </w:r>
            <w:proofErr w:type="spellEnd"/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(г. Антверпен, Бельгия) /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Artesis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lang w:val="en-US"/>
              </w:rPr>
              <w:t> 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Plantijn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lang w:val="en-US"/>
              </w:rPr>
              <w:t> 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Hogeschool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lang w:val="en-US"/>
              </w:rPr>
              <w:t> 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Antwerpen</w:t>
            </w:r>
            <w:proofErr w:type="spellEnd"/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(Antwerp, Belgium)</w:t>
            </w:r>
          </w:p>
        </w:tc>
        <w:tc>
          <w:tcPr>
            <w:tcW w:w="2004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партнер</w:t>
            </w:r>
          </w:p>
        </w:tc>
      </w:tr>
      <w:tr w:rsidR="00184067" w:rsidRPr="00184067" w:rsidTr="00184067">
        <w:trPr>
          <w:tblCellSpacing w:w="0" w:type="dxa"/>
          <w:jc w:val="center"/>
        </w:trPr>
        <w:tc>
          <w:tcPr>
            <w:tcW w:w="2508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>
                  <wp:extent cx="1905000" cy="2240280"/>
                  <wp:effectExtent l="19050" t="0" r="0" b="0"/>
                  <wp:docPr id="8" name="Рисунок 8" descr="http://nggu.ru/ru/otd_international/1283/prev_small_11898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ggu.ru/ru/otd_international/1283/prev_small_11898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4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Воронежский </w:t>
            </w:r>
            <w:proofErr w:type="spellStart"/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государственныйуниверситет</w:t>
            </w:r>
            <w:proofErr w:type="spellEnd"/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(Россия) /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Voronezh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</w:rPr>
              <w:t> 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State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 xml:space="preserve"> 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University</w:t>
            </w:r>
            <w:proofErr w:type="spellEnd"/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(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Russia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)</w:t>
            </w:r>
          </w:p>
        </w:tc>
        <w:tc>
          <w:tcPr>
            <w:tcW w:w="2004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Партнер</w:t>
            </w:r>
          </w:p>
        </w:tc>
      </w:tr>
      <w:tr w:rsidR="00184067" w:rsidRPr="00184067" w:rsidTr="00184067">
        <w:trPr>
          <w:tblCellSpacing w:w="0" w:type="dxa"/>
          <w:jc w:val="center"/>
        </w:trPr>
        <w:tc>
          <w:tcPr>
            <w:tcW w:w="2508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>
                  <wp:extent cx="1905000" cy="495300"/>
                  <wp:effectExtent l="19050" t="0" r="0" b="0"/>
                  <wp:docPr id="9" name="Рисунок 9" descr="http://nggu.ru/ru/otd_international/1283/prev_small_carinthi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ggu.ru/ru/otd_international/1283/prev_small_carinthi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Университет прикладных наук </w:t>
            </w:r>
            <w:proofErr w:type="spellStart"/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Каринтии</w:t>
            </w:r>
            <w:proofErr w:type="spellEnd"/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(Австрия) /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Carinthia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  <w:lang w:val="en-US"/>
              </w:rPr>
              <w:t> 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University of Applied Sciences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(Austria)</w:t>
            </w:r>
          </w:p>
        </w:tc>
        <w:tc>
          <w:tcPr>
            <w:tcW w:w="2004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Партнер</w:t>
            </w:r>
          </w:p>
        </w:tc>
      </w:tr>
      <w:tr w:rsidR="00184067" w:rsidRPr="00184067" w:rsidTr="00184067">
        <w:trPr>
          <w:tblCellSpacing w:w="0" w:type="dxa"/>
          <w:jc w:val="center"/>
        </w:trPr>
        <w:tc>
          <w:tcPr>
            <w:tcW w:w="2508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10" name="Рисунок 10" descr="http://nggu.ru/ru/otd_international/1283/prev_small_rgp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ggu.ru/ru/otd_international/1283/prev_small_rgp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Российский </w:t>
            </w:r>
            <w:proofErr w:type="spellStart"/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государственныйпедагогический</w:t>
            </w:r>
            <w:proofErr w:type="spellEnd"/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 университет им. А.И.Герцена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en-US"/>
              </w:rPr>
              <w:t>(</w:t>
            </w: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Санкт</w:t>
            </w: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en-US"/>
              </w:rPr>
              <w:t>-</w:t>
            </w: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Петербург</w:t>
            </w: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en-US"/>
              </w:rPr>
              <w:t>, </w:t>
            </w: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Россия</w:t>
            </w: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en-US"/>
              </w:rPr>
              <w:t>) /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Herzen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lang w:val="en-US"/>
              </w:rPr>
              <w:t> </w:t>
            </w: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State Pedagogical University of Russia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(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Saint-Petersburg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 xml:space="preserve">, 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Russia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)</w:t>
            </w:r>
          </w:p>
        </w:tc>
        <w:tc>
          <w:tcPr>
            <w:tcW w:w="2004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Партнер</w:t>
            </w:r>
          </w:p>
        </w:tc>
      </w:tr>
      <w:tr w:rsidR="00184067" w:rsidRPr="00184067" w:rsidTr="00184067">
        <w:trPr>
          <w:tblCellSpacing w:w="0" w:type="dxa"/>
          <w:jc w:val="center"/>
        </w:trPr>
        <w:tc>
          <w:tcPr>
            <w:tcW w:w="2508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>
                  <wp:extent cx="1905000" cy="2133600"/>
                  <wp:effectExtent l="19050" t="0" r="0" b="0"/>
                  <wp:docPr id="11" name="Рисунок 11" descr="http://nggu.ru/ru/otd_international/1283/prev_small_bolonskiy%20kl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ggu.ru/ru/otd_international/1283/prev_small_bolonskiy%20kl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Агентство стратегических инициатив в сфере образования «Болонский клуб»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(г. Ростов-на-Дону, Россия) /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Agency of Educational Strategies &amp; Initiatives (Bologna Club)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(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Rostov-on-Don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 xml:space="preserve">, 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Russia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)</w:t>
            </w:r>
          </w:p>
        </w:tc>
        <w:tc>
          <w:tcPr>
            <w:tcW w:w="2004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Неакадемический партнер</w:t>
            </w:r>
          </w:p>
        </w:tc>
      </w:tr>
      <w:tr w:rsidR="00184067" w:rsidRPr="00184067" w:rsidTr="00184067">
        <w:trPr>
          <w:tblCellSpacing w:w="0" w:type="dxa"/>
          <w:jc w:val="center"/>
        </w:trPr>
        <w:tc>
          <w:tcPr>
            <w:tcW w:w="2508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>
                  <wp:extent cx="1905000" cy="914400"/>
                  <wp:effectExtent l="19050" t="0" r="0" b="0"/>
                  <wp:docPr id="12" name="Рисунок 12" descr="http://nggu.ru/ru/otd_international/1283/prev_small_jykes_logo-300x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ggu.ru/ru/otd_international/1283/prev_small_jykes_logo-300x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ЗАО “JYKES” компания регионального развития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 xml:space="preserve">(г. </w:t>
            </w:r>
            <w:proofErr w:type="spellStart"/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Ювяскюля</w:t>
            </w:r>
            <w:proofErr w:type="spellEnd"/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, Финляндия) /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Jyväskylä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 xml:space="preserve"> regional Development Company 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>Jykes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  <w:t xml:space="preserve"> Ltd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(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Jyväskylä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 xml:space="preserve">, 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Finland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)</w:t>
            </w:r>
          </w:p>
        </w:tc>
        <w:tc>
          <w:tcPr>
            <w:tcW w:w="2004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Неакадемический партнер</w:t>
            </w:r>
          </w:p>
        </w:tc>
      </w:tr>
      <w:tr w:rsidR="00184067" w:rsidRPr="00184067" w:rsidTr="00184067">
        <w:trPr>
          <w:tblCellSpacing w:w="0" w:type="dxa"/>
          <w:jc w:val="center"/>
        </w:trPr>
        <w:tc>
          <w:tcPr>
            <w:tcW w:w="2508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>
                  <wp:extent cx="1905000" cy="449580"/>
                  <wp:effectExtent l="19050" t="0" r="0" b="0"/>
                  <wp:docPr id="13" name="Рисунок 13" descr="http://nggu.ru/ru/otd_international/1283/prev_small_space%20network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ggu.ru/ru/otd_international/1283/prev_small_space%20network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Сеть сотрудничества в сфере образования</w:t>
            </w:r>
            <w:r w:rsidR="00C56DC1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 xml:space="preserve"> </w:t>
            </w: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SPACE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(Антверпен, Бельгия) /</w:t>
            </w:r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 xml:space="preserve">SPACE 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Network</w:t>
            </w:r>
            <w:proofErr w:type="spellEnd"/>
          </w:p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(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Antwerp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 xml:space="preserve">, </w:t>
            </w:r>
            <w:proofErr w:type="spellStart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Belgium</w:t>
            </w:r>
            <w:proofErr w:type="spellEnd"/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)</w:t>
            </w:r>
          </w:p>
        </w:tc>
        <w:tc>
          <w:tcPr>
            <w:tcW w:w="2004" w:type="dxa"/>
            <w:tcBorders>
              <w:top w:val="outset" w:sz="2" w:space="0" w:color="auto"/>
              <w:left w:val="outset" w:sz="2" w:space="0" w:color="auto"/>
              <w:bottom w:val="single" w:sz="4" w:space="0" w:color="003399"/>
              <w:right w:val="single" w:sz="4" w:space="0" w:color="003399"/>
            </w:tcBorders>
            <w:shd w:val="clear" w:color="auto" w:fill="FFFFFF"/>
            <w:vAlign w:val="center"/>
            <w:hideMark/>
          </w:tcPr>
          <w:p w:rsidR="00184067" w:rsidRPr="00184067" w:rsidRDefault="00184067" w:rsidP="00184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184067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Неакадемический партнер</w:t>
            </w:r>
          </w:p>
        </w:tc>
      </w:tr>
    </w:tbl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b/>
          <w:bCs/>
          <w:color w:val="333333"/>
          <w:sz w:val="14"/>
        </w:rPr>
        <w:t>Цель проекта: </w:t>
      </w:r>
      <w:r w:rsidRPr="00184067">
        <w:rPr>
          <w:rFonts w:ascii="Arial" w:eastAsia="Times New Roman" w:hAnsi="Arial" w:cs="Arial"/>
          <w:i/>
          <w:iCs/>
          <w:color w:val="333333"/>
          <w:sz w:val="14"/>
        </w:rPr>
        <w:t>Содействие процессу реформирования и модернизации системы высшего образования в РФ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b/>
          <w:bCs/>
          <w:color w:val="333333"/>
          <w:sz w:val="14"/>
        </w:rPr>
        <w:t>Задачи проекта: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i/>
          <w:iCs/>
          <w:color w:val="333333"/>
          <w:sz w:val="14"/>
        </w:rPr>
        <w:t>1.     Оценка качества сотрудничества между ВУЗами и работодателями при помощи специальной матрицы оценки.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i/>
          <w:iCs/>
          <w:color w:val="333333"/>
          <w:sz w:val="14"/>
        </w:rPr>
        <w:t>2.     Реализация планов действий направленных на развитие сотрудничества в вузах-партнерах.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i/>
          <w:iCs/>
          <w:color w:val="333333"/>
          <w:sz w:val="14"/>
        </w:rPr>
        <w:t>3.     Расширение практических знаний специалистов ВУЗов в отношении новых методов и форм сотрудничества с трудовым сообществом/работодателями и способов их внедрения в учебные планы.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b/>
          <w:bCs/>
          <w:color w:val="333333"/>
          <w:sz w:val="14"/>
        </w:rPr>
        <w:t>Текущая ситуация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color w:val="333333"/>
          <w:sz w:val="14"/>
          <w:szCs w:val="14"/>
        </w:rPr>
        <w:t>Работа по проекту разбита на 9 рабочих пакетов, каждый из которых направлен на достижение определенной задачи. На данный момент завершен 2 рабочий пакет по проекту, основная задача которого заключалась в проведении анализа текущего состояния сотрудничества между ВУЗом и работодателем. Реализация 3 рабочего пакета предполагает разработку планов действий для российских вузов-партнеров, а также визиты по обмену опытом, которые состоятся в декабре 2014 года. В ходе визитов в европейские вузы-партнеры, представители российских вузов смогут познакомиться с особенностями систем стратегического партнерства вузов с работодателями в Австрии, Финляндии, Бельгии, Испании, посетить ряд семинаров-тренингов по развитию партнерских отношений с предприятиями, а также поделиться своим в данной области опытом с зарубежными коллегами.</w:t>
      </w:r>
    </w:p>
    <w:p w:rsidR="00184067" w:rsidRPr="00184067" w:rsidRDefault="00184067" w:rsidP="00184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067">
        <w:rPr>
          <w:rFonts w:ascii="Arial" w:eastAsia="Times New Roman" w:hAnsi="Arial" w:cs="Arial"/>
          <w:b/>
          <w:bCs/>
          <w:color w:val="333333"/>
          <w:sz w:val="14"/>
        </w:rPr>
        <w:t>Контактная информация</w:t>
      </w:r>
    </w:p>
    <w:p w:rsidR="00627182" w:rsidRDefault="00184067" w:rsidP="00C56DC1">
      <w:pPr>
        <w:shd w:val="clear" w:color="auto" w:fill="FFFFFF"/>
        <w:spacing w:before="100" w:beforeAutospacing="1" w:after="100" w:afterAutospacing="1" w:line="240" w:lineRule="auto"/>
      </w:pPr>
      <w:r w:rsidRPr="00184067">
        <w:rPr>
          <w:rFonts w:ascii="Arial" w:eastAsia="Times New Roman" w:hAnsi="Arial" w:cs="Arial"/>
          <w:b/>
          <w:bCs/>
          <w:color w:val="333333"/>
          <w:sz w:val="14"/>
        </w:rPr>
        <w:t>Suvi Ahonen</w:t>
      </w:r>
      <w:hyperlink r:id="rId20" w:history="1">
        <w:r w:rsidRPr="00184067">
          <w:rPr>
            <w:rFonts w:ascii="Arial" w:eastAsia="Times New Roman" w:hAnsi="Arial" w:cs="Arial"/>
            <w:color w:val="006600"/>
            <w:sz w:val="14"/>
            <w:u w:val="single"/>
          </w:rPr>
          <w:t> suvi.ahonen@jamk.fi</w:t>
        </w:r>
      </w:hyperlink>
      <w:r w:rsidRPr="00184067">
        <w:rPr>
          <w:rFonts w:ascii="Arial" w:eastAsia="Times New Roman" w:hAnsi="Arial" w:cs="Arial"/>
          <w:color w:val="333333"/>
          <w:sz w:val="14"/>
          <w:szCs w:val="14"/>
        </w:rPr>
        <w:t>  – координатор проекта</w:t>
      </w:r>
    </w:p>
    <w:sectPr w:rsidR="00627182" w:rsidSect="0062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217"/>
    <w:multiLevelType w:val="multilevel"/>
    <w:tmpl w:val="15AE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67"/>
    <w:rsid w:val="00184067"/>
    <w:rsid w:val="00627182"/>
    <w:rsid w:val="00B17B04"/>
    <w:rsid w:val="00C5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184067"/>
  </w:style>
  <w:style w:type="paragraph" w:styleId="a3">
    <w:name w:val="Normal (Web)"/>
    <w:basedOn w:val="a"/>
    <w:uiPriority w:val="99"/>
    <w:unhideWhenUsed/>
    <w:rsid w:val="0018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4067"/>
    <w:rPr>
      <w:b/>
      <w:bCs/>
    </w:rPr>
  </w:style>
  <w:style w:type="character" w:customStyle="1" w:styleId="apple-converted-space">
    <w:name w:val="apple-converted-space"/>
    <w:basedOn w:val="a0"/>
    <w:rsid w:val="00184067"/>
  </w:style>
  <w:style w:type="character" w:styleId="a5">
    <w:name w:val="Hyperlink"/>
    <w:basedOn w:val="a0"/>
    <w:uiPriority w:val="99"/>
    <w:semiHidden/>
    <w:unhideWhenUsed/>
    <w:rsid w:val="00184067"/>
    <w:rPr>
      <w:color w:val="0000FF"/>
      <w:u w:val="single"/>
    </w:rPr>
  </w:style>
  <w:style w:type="character" w:styleId="a6">
    <w:name w:val="Emphasis"/>
    <w:basedOn w:val="a0"/>
    <w:uiPriority w:val="20"/>
    <w:qFormat/>
    <w:rsid w:val="0018406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184067"/>
  </w:style>
  <w:style w:type="paragraph" w:styleId="a3">
    <w:name w:val="Normal (Web)"/>
    <w:basedOn w:val="a"/>
    <w:uiPriority w:val="99"/>
    <w:unhideWhenUsed/>
    <w:rsid w:val="0018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4067"/>
    <w:rPr>
      <w:b/>
      <w:bCs/>
    </w:rPr>
  </w:style>
  <w:style w:type="character" w:customStyle="1" w:styleId="apple-converted-space">
    <w:name w:val="apple-converted-space"/>
    <w:basedOn w:val="a0"/>
    <w:rsid w:val="00184067"/>
  </w:style>
  <w:style w:type="character" w:styleId="a5">
    <w:name w:val="Hyperlink"/>
    <w:basedOn w:val="a0"/>
    <w:uiPriority w:val="99"/>
    <w:semiHidden/>
    <w:unhideWhenUsed/>
    <w:rsid w:val="00184067"/>
    <w:rPr>
      <w:color w:val="0000FF"/>
      <w:u w:val="single"/>
    </w:rPr>
  </w:style>
  <w:style w:type="character" w:styleId="a6">
    <w:name w:val="Emphasis"/>
    <w:basedOn w:val="a0"/>
    <w:uiPriority w:val="20"/>
    <w:qFormat/>
    <w:rsid w:val="0018406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us-e3m.com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suvi.ahonen@jamk.f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HP</cp:lastModifiedBy>
  <cp:revision>2</cp:revision>
  <dcterms:created xsi:type="dcterms:W3CDTF">2015-11-17T08:13:00Z</dcterms:created>
  <dcterms:modified xsi:type="dcterms:W3CDTF">2015-11-17T08:13:00Z</dcterms:modified>
</cp:coreProperties>
</file>