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93" w:rsidRDefault="000B0A93" w:rsidP="000B0A93">
      <w:pPr>
        <w:pStyle w:val="aa"/>
        <w:jc w:val="center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>Зарегистрировано на: Общество с ограниченной ответственностью "ЭСГ "Охрана Труда"</w:t>
      </w:r>
    </w:p>
    <w:p w:rsidR="000B0A93" w:rsidRPr="00A61A1E" w:rsidRDefault="000B0A93" w:rsidP="000B0A93">
      <w:pPr>
        <w:pStyle w:val="aa"/>
        <w:jc w:val="center"/>
        <w:rPr>
          <w:rFonts w:ascii="Arial Narrow" w:hAnsi="Arial Narrow"/>
          <w:b/>
          <w:color w:val="FFFFFF"/>
          <w:sz w:val="12"/>
          <w:szCs w:val="24"/>
        </w:rPr>
        <w:sectPr w:rsidR="000B0A93" w:rsidRPr="00A61A1E">
          <w:footerReference w:type="default" r:id="rId5"/>
          <w:pgSz w:w="16840" w:h="11907" w:orient="landscape"/>
          <w:pgMar w:top="1418" w:right="567" w:bottom="567" w:left="567" w:header="720" w:footer="720" w:gutter="0"/>
          <w:cols w:space="720"/>
        </w:sectPr>
      </w:pPr>
    </w:p>
    <w:p w:rsidR="000B0A93" w:rsidRPr="00681F8C" w:rsidRDefault="000B0A93" w:rsidP="000B0A93">
      <w:pPr>
        <w:pStyle w:val="aa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Раздел </w:t>
      </w:r>
      <w:r>
        <w:rPr>
          <w:rFonts w:ascii="Arial Narrow" w:hAnsi="Arial Narrow"/>
          <w:b/>
          <w:sz w:val="24"/>
          <w:szCs w:val="24"/>
          <w:lang w:val="en-US"/>
        </w:rPr>
        <w:t>VI</w:t>
      </w:r>
      <w:r w:rsidRPr="00A32581">
        <w:rPr>
          <w:rFonts w:ascii="Arial Narrow" w:hAnsi="Arial Narrow"/>
          <w:b/>
          <w:sz w:val="24"/>
          <w:szCs w:val="24"/>
        </w:rPr>
        <w:t xml:space="preserve">. </w:t>
      </w:r>
      <w:r w:rsidRPr="00681F8C">
        <w:rPr>
          <w:rFonts w:ascii="Arial Narrow" w:hAnsi="Arial Narrow"/>
          <w:b/>
          <w:sz w:val="24"/>
          <w:szCs w:val="24"/>
        </w:rPr>
        <w:t>Перечень рекомендуемых мероприятий по улучшению условий труда</w:t>
      </w:r>
      <w:r>
        <w:rPr>
          <w:rFonts w:ascii="Arial Narrow" w:hAnsi="Arial Narrow"/>
          <w:b/>
          <w:sz w:val="24"/>
          <w:szCs w:val="24"/>
        </w:rPr>
        <w:t>.</w:t>
      </w:r>
    </w:p>
    <w:p w:rsidR="000B0A93" w:rsidRPr="00681F8C" w:rsidRDefault="000B0A93" w:rsidP="000B0A93">
      <w:pPr>
        <w:jc w:val="center"/>
        <w:rPr>
          <w:rFonts w:ascii="Arial Narrow" w:hAnsi="Arial Narrow"/>
        </w:rPr>
      </w:pPr>
    </w:p>
    <w:tbl>
      <w:tblPr>
        <w:tblW w:w="0" w:type="auto"/>
        <w:jc w:val="center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4549"/>
        <w:gridCol w:w="1984"/>
        <w:gridCol w:w="1985"/>
        <w:gridCol w:w="1984"/>
        <w:gridCol w:w="1985"/>
      </w:tblGrid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950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 xml:space="preserve">Наименование подразделения, </w:t>
            </w:r>
            <w:r w:rsidRPr="00681F8C">
              <w:rPr>
                <w:rFonts w:ascii="Arial Narrow" w:hAnsi="Arial Narrow"/>
                <w:lang w:val="en-US"/>
              </w:rPr>
              <w:t xml:space="preserve"> </w:t>
            </w:r>
            <w:r w:rsidRPr="00681F8C">
              <w:rPr>
                <w:rFonts w:ascii="Arial Narrow" w:hAnsi="Arial Narrow"/>
              </w:rPr>
              <w:t>рабочего места</w:t>
            </w:r>
          </w:p>
        </w:tc>
        <w:tc>
          <w:tcPr>
            <w:tcW w:w="4549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0B0A93" w:rsidRPr="00681F8C" w:rsidRDefault="000B0A93" w:rsidP="008C3059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Цель мероприятия</w:t>
            </w:r>
          </w:p>
        </w:tc>
        <w:tc>
          <w:tcPr>
            <w:tcW w:w="1985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Структурные подра</w:t>
            </w:r>
            <w:r w:rsidRPr="00681F8C">
              <w:rPr>
                <w:rFonts w:ascii="Arial Narrow" w:hAnsi="Arial Narrow"/>
              </w:rPr>
              <w:t>з</w:t>
            </w:r>
            <w:r w:rsidRPr="00681F8C">
              <w:rPr>
                <w:rFonts w:ascii="Arial Narrow" w:hAnsi="Arial Narrow"/>
              </w:rPr>
              <w:t>деления, привлека</w:t>
            </w:r>
            <w:r w:rsidRPr="00681F8C">
              <w:rPr>
                <w:rFonts w:ascii="Arial Narrow" w:hAnsi="Arial Narrow"/>
              </w:rPr>
              <w:t>е</w:t>
            </w:r>
            <w:r w:rsidRPr="00681F8C">
              <w:rPr>
                <w:rFonts w:ascii="Arial Narrow" w:hAnsi="Arial Narrow"/>
              </w:rPr>
              <w:t>мые для выполнения мероприятия</w:t>
            </w:r>
          </w:p>
        </w:tc>
        <w:tc>
          <w:tcPr>
            <w:tcW w:w="1985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Отметка о выполнении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1</w:t>
            </w:r>
          </w:p>
        </w:tc>
        <w:tc>
          <w:tcPr>
            <w:tcW w:w="4549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2</w:t>
            </w:r>
          </w:p>
        </w:tc>
        <w:tc>
          <w:tcPr>
            <w:tcW w:w="1984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4</w:t>
            </w:r>
          </w:p>
        </w:tc>
        <w:tc>
          <w:tcPr>
            <w:tcW w:w="1984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5</w:t>
            </w:r>
          </w:p>
        </w:tc>
        <w:tc>
          <w:tcPr>
            <w:tcW w:w="1985" w:type="dxa"/>
            <w:vAlign w:val="center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  <w:r w:rsidRPr="00681F8C">
              <w:rPr>
                <w:rFonts w:ascii="Arial Narrow" w:hAnsi="Arial Narrow"/>
              </w:rPr>
              <w:t>6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биологии\Кафедра анатомии и физиологии человека и животных (г. Санкт-Петербург, наб. р. Мойки, д. 48, корп. №3, ауд.  № 84)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 Инженер 1 категории</w:t>
            </w:r>
          </w:p>
        </w:tc>
        <w:tc>
          <w:tcPr>
            <w:tcW w:w="4549" w:type="dxa"/>
            <w:vAlign w:val="center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 Лаборант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биологии\Кафедра зоологии (г. Санкт-Петербург, наб. р. Мойки, д. 48, кор. 2, ауд. 430, 431, 432, 433, 434, 435)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41А, 42А(41А), 43А(41А), 44А(41А), 45А(41А), 46А(41А)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 Лаборант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биологии\Кафедра ботаники (г. Санкт-Петербург, наб. р. Мойки, д. 48, корп. №3, ауд. 91)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48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49А, 50А(49А), 51А(49А)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 Лаборант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биологии\Кафедра методики обучения биологии и экологии (г. Санкт-Петербург, наб. р. Мойки, д. 48, корп. №2, ауд. 454)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Факультеты\Факультет изобразительного искусства\Кафедра рисунка, эстампная мастерская (г. Санкт-Петербург, наб. р. Мойки, д. 48, корп. № 6, </w:t>
            </w:r>
            <w:proofErr w:type="spellStart"/>
            <w:r>
              <w:rPr>
                <w:rFonts w:ascii="Arial Narrow" w:hAnsi="Arial Narrow"/>
                <w:b/>
              </w:rPr>
              <w:t>каб</w:t>
            </w:r>
            <w:proofErr w:type="spellEnd"/>
            <w:r>
              <w:rPr>
                <w:rFonts w:ascii="Arial Narrow" w:hAnsi="Arial Narrow"/>
                <w:b/>
              </w:rPr>
              <w:t>. 56)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 Заведующий мастерской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Факультеты\Факультет изобразительного искусства\Кафедра </w:t>
            </w:r>
            <w:proofErr w:type="gramStart"/>
            <w:r>
              <w:rPr>
                <w:rFonts w:ascii="Arial Narrow" w:hAnsi="Arial Narrow"/>
                <w:b/>
              </w:rPr>
              <w:t>художественного</w:t>
            </w:r>
            <w:proofErr w:type="gramEnd"/>
            <w:r>
              <w:rPr>
                <w:rFonts w:ascii="Arial Narrow" w:hAnsi="Arial Narrow"/>
                <w:b/>
              </w:rPr>
              <w:t xml:space="preserve"> образования и декоративного искусства, керамическая мастерская (г. Санкт-Петербург, наб. р. Мойки, д. 48, корп. №6)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 Заведующий мастерской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59 Учебный мастер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физики\Кафедра общей и экспериментальной физики (г. Санкт-Петербург, наб. р. Мойки, д. 48, корп. №3, ауд. № 62)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Инженер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физики\Кафедра физической электроники (г. Санкт-Петербург, наб. р. Мойки, д. 48, корп. №2, ауд. 367, 260, 366, 368; корп. №1, ауд. 321; корп. №3, ауд. 65, 68, 44, 66, 48)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62А, 63А(62А), 64А(62А), 65А(62А), 66А(62А), 67А(62А) Инженер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 Лаборант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 Лаборант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химии\Кафедра неорганической химии (г. Санкт-Петербург, наб. р. Мойки, д. 48, корп. №3 ауд. 38, 32, 26, 39)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 Инженер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73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Факультеты\Факультет химии\Кафедра органической химии (г. Санкт-Петербург, наб. р. Мойки, д. 48, корп. № 3 ауд. 22, 34, 35, 19, 24)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 Инженер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 Инженер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Факультеты\Факультет химии\Кафедра </w:t>
            </w:r>
            <w:proofErr w:type="gramStart"/>
            <w:r>
              <w:rPr>
                <w:rFonts w:ascii="Arial Narrow" w:hAnsi="Arial Narrow"/>
                <w:b/>
              </w:rPr>
              <w:t>химического</w:t>
            </w:r>
            <w:proofErr w:type="gramEnd"/>
            <w:r>
              <w:rPr>
                <w:rFonts w:ascii="Arial Narrow" w:hAnsi="Arial Narrow"/>
                <w:b/>
              </w:rPr>
              <w:t xml:space="preserve"> и экологического образования (г. Санкт-Петербург, наб. р. Мойки, д. 48, корп. № 13 ауд. № 5; корп. №3 ауд.  № 29, 41)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Заведующий лабораторией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 Инженер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82 Инженер 2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 Инженер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Центр коллективного пользования "Физико-химические методы исследования нитросоединений, координационных, биологически-активных веществ и наноструктурных веществ" (г. Санкт-Петербург, наб. р. Мойки, д. 48, корп. № 13, </w:t>
            </w:r>
            <w:proofErr w:type="spellStart"/>
            <w:r>
              <w:rPr>
                <w:rFonts w:ascii="Arial Narrow" w:hAnsi="Arial Narrow"/>
                <w:b/>
              </w:rPr>
              <w:t>каб</w:t>
            </w:r>
            <w:proofErr w:type="spellEnd"/>
            <w:r>
              <w:rPr>
                <w:rFonts w:ascii="Arial Narrow" w:hAnsi="Arial Narrow"/>
                <w:b/>
              </w:rPr>
              <w:t>. № 124)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Инженер-исследователь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Лаборатория нитросоединений (г. Санкт-Петербург, наб. р. Мойки, д. 48, корп. № 13 </w:t>
            </w:r>
            <w:proofErr w:type="spellStart"/>
            <w:r>
              <w:rPr>
                <w:rFonts w:ascii="Arial Narrow" w:hAnsi="Arial Narrow"/>
                <w:b/>
              </w:rPr>
              <w:t>каб</w:t>
            </w:r>
            <w:proofErr w:type="spellEnd"/>
            <w:r>
              <w:rPr>
                <w:rFonts w:ascii="Arial Narrow" w:hAnsi="Arial Narrow"/>
                <w:b/>
              </w:rPr>
              <w:t>. 120, 110, 108)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 Старший научный сотрудник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 Старший научный сотрудник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Издательство\Центральный множительный участок (г. </w:t>
            </w:r>
            <w:proofErr w:type="spellStart"/>
            <w:r>
              <w:rPr>
                <w:rFonts w:ascii="Arial Narrow" w:hAnsi="Arial Narrow"/>
                <w:b/>
              </w:rPr>
              <w:t>Санкт-петербург</w:t>
            </w:r>
            <w:proofErr w:type="spellEnd"/>
            <w:r>
              <w:rPr>
                <w:rFonts w:ascii="Arial Narrow" w:hAnsi="Arial Narrow"/>
                <w:b/>
              </w:rPr>
              <w:t>, наб. р. Мойки, д. 48,корп. 20а)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 Заведующая центральным множительным участком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88А, 89А(88А), 90А(88А) Техник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5437" w:type="dxa"/>
            <w:gridSpan w:val="6"/>
            <w:vAlign w:val="center"/>
          </w:tcPr>
          <w:p w:rsidR="000B0A93" w:rsidRPr="00A61A1E" w:rsidRDefault="000B0A93" w:rsidP="008C30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Издательство\Издательство. Полиграфический участок</w:t>
            </w: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 Брошюровщик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Оператор по изготовлению форм офсетной печати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 Печатник плоской печати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 Печатник плоской печати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 Техник 1 категории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 Заведующая полиграфическим участком</w:t>
            </w: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Выполнить ревизию и дефектовку используемых на </w:t>
            </w:r>
            <w:proofErr w:type="gramStart"/>
            <w:r>
              <w:rPr>
                <w:rFonts w:ascii="Arial Narrow" w:hAnsi="Arial Narrow"/>
              </w:rPr>
              <w:t>рабочем</w:t>
            </w:r>
            <w:proofErr w:type="gramEnd"/>
            <w:r>
              <w:rPr>
                <w:rFonts w:ascii="Arial Narrow" w:hAnsi="Arial Narrow"/>
              </w:rPr>
              <w:t xml:space="preserve"> месте систем общеобменной вентиляции, при необходимости - выполнить чистку </w:t>
            </w:r>
            <w:proofErr w:type="spellStart"/>
            <w:r>
              <w:rPr>
                <w:rFonts w:ascii="Arial Narrow" w:hAnsi="Arial Narrow"/>
              </w:rPr>
              <w:t>вентходов</w:t>
            </w:r>
            <w:proofErr w:type="spellEnd"/>
            <w:r>
              <w:rPr>
                <w:rFonts w:ascii="Arial Narrow" w:hAnsi="Arial Narrow"/>
              </w:rPr>
              <w:t xml:space="preserve">, ремонт </w:t>
            </w:r>
            <w:proofErr w:type="spellStart"/>
            <w:r>
              <w:rPr>
                <w:rFonts w:ascii="Arial Narrow" w:hAnsi="Arial Narrow"/>
              </w:rPr>
              <w:t>вентагрегатов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химич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ского фактора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  <w:tr w:rsidR="000B0A93" w:rsidRPr="00681F8C" w:rsidTr="008C3059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950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4549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осмотр и, при необходимости, ремонт оборудования, своевременно организовывать регламен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ные работы по его обслуживанию, не допуская эксплу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тацию в неисправном состоянии.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Эксплуатировать шумящее оборудование со всеми предусмотренными его конструкцией кожухами, кры</w:t>
            </w:r>
            <w:r>
              <w:rPr>
                <w:rFonts w:ascii="Arial Narrow" w:hAnsi="Arial Narrow"/>
              </w:rPr>
              <w:t>ш</w:t>
            </w:r>
            <w:r>
              <w:rPr>
                <w:rFonts w:ascii="Arial Narrow" w:hAnsi="Arial Narrow"/>
              </w:rPr>
              <w:t>ками, ограждениями.</w:t>
            </w:r>
          </w:p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Выполнить рационализацию режимов работы сотру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ников, занятых в условиях повышенного уровня шума, путём разработки и введения дополнительных регл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ментированных перерывов (с учётом рекомендаций Таблицы П.7.3 Приложения 7 к Руководству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2.2.2006-05), ограничив суммарное время пребывания работн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ков в зонах с повышенным уровнем шума ("защита временем").</w:t>
            </w:r>
          </w:p>
        </w:tc>
        <w:tc>
          <w:tcPr>
            <w:tcW w:w="1984" w:type="dxa"/>
            <w:vAlign w:val="center"/>
          </w:tcPr>
          <w:p w:rsidR="000B0A93" w:rsidRDefault="000B0A93" w:rsidP="008C30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Снижение вредного воздействия шума</w:t>
            </w:r>
          </w:p>
        </w:tc>
        <w:tc>
          <w:tcPr>
            <w:tcW w:w="1985" w:type="dxa"/>
          </w:tcPr>
          <w:p w:rsidR="000B0A93" w:rsidRPr="00681F8C" w:rsidRDefault="000B0A93" w:rsidP="008C3059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B0A93" w:rsidRPr="00681F8C" w:rsidRDefault="000B0A93" w:rsidP="008C305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B0A93" w:rsidRPr="00A61A1E" w:rsidRDefault="000B0A93" w:rsidP="000B0A93">
      <w:pPr>
        <w:jc w:val="center"/>
        <w:rPr>
          <w:rFonts w:ascii="Arial Narrow" w:hAnsi="Arial Narrow"/>
        </w:rPr>
      </w:pPr>
      <w:r w:rsidRPr="00681F8C">
        <w:rPr>
          <w:rFonts w:ascii="Arial Narrow" w:hAnsi="Arial Narrow"/>
        </w:rPr>
        <w:t xml:space="preserve">  </w:t>
      </w:r>
    </w:p>
    <w:p w:rsidR="000B0A93" w:rsidRPr="00681F8C" w:rsidRDefault="000B0A93" w:rsidP="000B0A93">
      <w:pPr>
        <w:pStyle w:val="aa"/>
        <w:jc w:val="both"/>
        <w:rPr>
          <w:rFonts w:ascii="Arial Narrow" w:hAnsi="Arial Narrow"/>
        </w:rPr>
      </w:pPr>
      <w:r w:rsidRPr="00681F8C">
        <w:rPr>
          <w:rFonts w:ascii="Arial Narrow" w:hAnsi="Arial Narrow"/>
        </w:rPr>
        <w:t>Дата составления:</w:t>
      </w:r>
    </w:p>
    <w:p w:rsidR="000B0A93" w:rsidRPr="00681F8C" w:rsidRDefault="000B0A93" w:rsidP="000B0A93">
      <w:pPr>
        <w:rPr>
          <w:rFonts w:ascii="Arial Narrow" w:hAnsi="Arial Narrow"/>
        </w:rPr>
      </w:pPr>
    </w:p>
    <w:p w:rsidR="000B0A93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681F8C">
        <w:rPr>
          <w:rFonts w:ascii="Arial Narrow" w:hAnsi="Arial Narrow" w:cs="Times New Roman"/>
          <w:b/>
          <w:color w:val="000000"/>
        </w:rPr>
        <w:t>Председатель комиссии по проведению специальной оценки условий труда</w:t>
      </w:r>
    </w:p>
    <w:p w:rsidR="000B0A93" w:rsidRPr="00681F8C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lastRenderedPageBreak/>
              <w:t>И.о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первого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проректора</w:t>
            </w:r>
            <w:proofErr w:type="spellEnd"/>
          </w:p>
        </w:tc>
        <w:tc>
          <w:tcPr>
            <w:tcW w:w="833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Бойков Дмитрий Игоревич</w:t>
            </w:r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0B0A93" w:rsidRPr="00681F8C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0B0A93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681F8C">
        <w:rPr>
          <w:rFonts w:ascii="Arial Narrow" w:hAnsi="Arial Narrow" w:cs="Times New Roman"/>
          <w:b/>
          <w:color w:val="000000"/>
        </w:rPr>
        <w:t>Члены комиссии по проведению специальной оценки условий труда:</w:t>
      </w:r>
    </w:p>
    <w:p w:rsidR="000B0A93" w:rsidRPr="00681F8C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B0A93">
              <w:rPr>
                <w:rFonts w:ascii="Arial Narrow" w:hAnsi="Arial Narrow"/>
                <w:b w:val="0"/>
              </w:rPr>
              <w:t>И.о. проректора по учебной работе</w:t>
            </w:r>
          </w:p>
        </w:tc>
        <w:tc>
          <w:tcPr>
            <w:tcW w:w="833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Махов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Сергей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Иванович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B0A93">
              <w:rPr>
                <w:rFonts w:ascii="Arial Narrow" w:hAnsi="Arial Narrow"/>
                <w:b w:val="0"/>
              </w:rPr>
              <w:t>И.о. проректора по образованию</w:t>
            </w:r>
          </w:p>
        </w:tc>
        <w:tc>
          <w:tcPr>
            <w:tcW w:w="833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Семикин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Виктор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B0A93">
              <w:rPr>
                <w:rFonts w:ascii="Arial Narrow" w:hAnsi="Arial Narrow"/>
                <w:b w:val="0"/>
              </w:rPr>
              <w:t>И.о. проректора по информатизации и административно-хозяйственной работе</w:t>
            </w:r>
          </w:p>
        </w:tc>
        <w:tc>
          <w:tcPr>
            <w:tcW w:w="833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Полищук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Олег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Игоревич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планово-финансового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управления</w:t>
            </w:r>
          </w:p>
        </w:tc>
        <w:tc>
          <w:tcPr>
            <w:tcW w:w="833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Айгуль Тилегеновна</w:t>
            </w:r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B0A93">
              <w:rPr>
                <w:rFonts w:ascii="Arial Narrow" w:hAnsi="Arial Narrow"/>
                <w:b w:val="0"/>
              </w:rPr>
              <w:t>Начальник управления кадров и социальной работы</w:t>
            </w:r>
          </w:p>
        </w:tc>
        <w:tc>
          <w:tcPr>
            <w:tcW w:w="833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Зюкин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Анатолий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0B0A93">
              <w:rPr>
                <w:rFonts w:ascii="Arial Narrow" w:hAnsi="Arial Narrow"/>
                <w:b w:val="0"/>
              </w:rPr>
              <w:t>Председатель объединённой первичной профсоюзной организации</w:t>
            </w:r>
          </w:p>
        </w:tc>
        <w:tc>
          <w:tcPr>
            <w:tcW w:w="833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0B0A93" w:rsidRPr="000B0A93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Бодина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Римма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Ивановна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отдела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охраны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труда</w:t>
            </w:r>
          </w:p>
        </w:tc>
        <w:tc>
          <w:tcPr>
            <w:tcW w:w="833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Поплутин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Николаевич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Главный врач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санатория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профилактория</w:t>
            </w:r>
            <w:proofErr w:type="spellEnd"/>
          </w:p>
        </w:tc>
        <w:tc>
          <w:tcPr>
            <w:tcW w:w="833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Борщукова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Софья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Алексеевна</w:t>
            </w:r>
            <w:proofErr w:type="spellEnd"/>
          </w:p>
        </w:tc>
        <w:tc>
          <w:tcPr>
            <w:tcW w:w="834" w:type="dxa"/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bottom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0B0A93" w:rsidRPr="00681F8C" w:rsidRDefault="000B0A93" w:rsidP="000B0A93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p w:rsidR="000B0A93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/>
          <w:b/>
          <w:color w:val="000000"/>
        </w:rPr>
        <w:t>Эксперт</w:t>
      </w:r>
      <w:proofErr w:type="gramStart"/>
      <w:r>
        <w:rPr>
          <w:rFonts w:ascii="Arial Narrow" w:hAnsi="Arial Narrow"/>
          <w:b/>
          <w:color w:val="000000"/>
        </w:rPr>
        <w:t xml:space="preserve"> (-</w:t>
      </w:r>
      <w:proofErr w:type="gramEnd"/>
      <w:r>
        <w:rPr>
          <w:rFonts w:ascii="Arial Narrow" w:hAnsi="Arial Narrow"/>
          <w:b/>
          <w:color w:val="000000"/>
        </w:rPr>
        <w:t xml:space="preserve">ы) </w:t>
      </w:r>
      <w:r>
        <w:rPr>
          <w:rFonts w:ascii="Arial Narrow" w:hAnsi="Arial Narrow" w:cs="Arial"/>
          <w:b/>
          <w:color w:val="000000"/>
        </w:rPr>
        <w:t>организации, проводившей специальную оценку условий труда:</w:t>
      </w:r>
    </w:p>
    <w:p w:rsidR="000B0A93" w:rsidRPr="00681F8C" w:rsidRDefault="000B0A93" w:rsidP="000B0A93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tbl>
      <w:tblPr>
        <w:tblW w:w="15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2975"/>
      </w:tblGrid>
      <w:tr w:rsidR="000B0A93" w:rsidRPr="00681F8C" w:rsidTr="008C3059"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2571</w:t>
            </w:r>
          </w:p>
        </w:tc>
        <w:tc>
          <w:tcPr>
            <w:tcW w:w="833" w:type="dxa"/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Капшус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Максим Александрович</w:t>
            </w:r>
          </w:p>
        </w:tc>
        <w:tc>
          <w:tcPr>
            <w:tcW w:w="834" w:type="dxa"/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  <w:vAlign w:val="center"/>
          </w:tcPr>
          <w:p w:rsidR="000B0A93" w:rsidRPr="00681F8C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</w:tr>
      <w:tr w:rsidR="000B0A93" w:rsidRPr="00681F8C" w:rsidTr="008C3059">
        <w:tc>
          <w:tcPr>
            <w:tcW w:w="3334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374000">
              <w:rPr>
                <w:rFonts w:ascii="Arial Narrow" w:hAnsi="Arial Narrow"/>
                <w:b w:val="0"/>
              </w:rPr>
              <w:t>(№ в реестре</w:t>
            </w:r>
            <w:r>
              <w:rPr>
                <w:rFonts w:ascii="Arial Narrow" w:hAnsi="Arial Narrow"/>
                <w:b w:val="0"/>
              </w:rPr>
              <w:t xml:space="preserve"> экспертов</w:t>
            </w:r>
            <w:r w:rsidRPr="00374000">
              <w:rPr>
                <w:rFonts w:ascii="Arial Narrow" w:hAnsi="Arial Narrow"/>
                <w:b w:val="0"/>
              </w:rPr>
              <w:t>)</w:t>
            </w:r>
          </w:p>
        </w:tc>
        <w:tc>
          <w:tcPr>
            <w:tcW w:w="833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  <w:vAlign w:val="center"/>
          </w:tcPr>
          <w:p w:rsidR="000B0A93" w:rsidRPr="00374000" w:rsidRDefault="000B0A93" w:rsidP="008C305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</w:tcBorders>
            <w:vAlign w:val="center"/>
          </w:tcPr>
          <w:p w:rsidR="000B0A93" w:rsidRPr="00374000" w:rsidRDefault="000B0A93" w:rsidP="008C305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74000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0B0A93" w:rsidRPr="00681F8C" w:rsidRDefault="000B0A93" w:rsidP="000B0A93">
      <w:pPr>
        <w:rPr>
          <w:rFonts w:ascii="Arial Narrow" w:hAnsi="Arial Narrow"/>
        </w:rPr>
      </w:pPr>
    </w:p>
    <w:p w:rsidR="0018256A" w:rsidRDefault="0018256A">
      <w:bookmarkStart w:id="0" w:name="_GoBack"/>
      <w:bookmarkEnd w:id="0"/>
    </w:p>
    <w:sectPr w:rsidR="0018256A" w:rsidSect="00A61A1E">
      <w:type w:val="continuous"/>
      <w:pgSz w:w="16840" w:h="11907" w:orient="landscape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CA" w:rsidRDefault="000B0A93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Раздел </w:t>
    </w:r>
    <w:r w:rsidRPr="006A1D07">
      <w:rPr>
        <w:rFonts w:ascii="Arial Narrow" w:hAnsi="Arial Narrow"/>
        <w:color w:val="808080"/>
        <w:sz w:val="16"/>
        <w:szCs w:val="16"/>
        <w:lang w:val="en-US"/>
      </w:rPr>
      <w:t>VI</w:t>
    </w:r>
    <w:r w:rsidRPr="006A1D07">
      <w:rPr>
        <w:rFonts w:ascii="Arial Narrow" w:hAnsi="Arial Narrow"/>
        <w:color w:val="808080"/>
        <w:sz w:val="16"/>
        <w:szCs w:val="16"/>
      </w:rPr>
      <w:t xml:space="preserve">. </w:t>
    </w:r>
    <w:r w:rsidRPr="006A1D07">
      <w:rPr>
        <w:rFonts w:ascii="Arial Narrow" w:hAnsi="Arial Narrow"/>
        <w:color w:val="808080"/>
        <w:sz w:val="16"/>
        <w:szCs w:val="16"/>
      </w:rPr>
      <w:t>Перечень рекомендуемых</w:t>
    </w:r>
    <w:r w:rsidRPr="00822A5E">
      <w:rPr>
        <w:rFonts w:ascii="Arial Narrow" w:hAnsi="Arial Narrow"/>
        <w:color w:val="808080"/>
        <w:sz w:val="16"/>
        <w:szCs w:val="16"/>
      </w:rPr>
      <w:t xml:space="preserve"> мероприятий по улучшению условий труда</w:t>
    </w:r>
  </w:p>
  <w:p w:rsidR="006A1D07" w:rsidRPr="00822A5E" w:rsidRDefault="000B0A93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Страница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PAGE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>
      <w:rPr>
        <w:rFonts w:ascii="Arial Narrow" w:hAnsi="Arial Narrow"/>
        <w:b/>
        <w:noProof/>
        <w:color w:val="808080"/>
        <w:sz w:val="16"/>
        <w:szCs w:val="16"/>
      </w:rPr>
      <w:t>7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  <w:r w:rsidRPr="006A1D07">
      <w:rPr>
        <w:rFonts w:ascii="Arial Narrow" w:hAnsi="Arial Narrow"/>
        <w:color w:val="808080"/>
        <w:sz w:val="16"/>
        <w:szCs w:val="16"/>
      </w:rPr>
      <w:t xml:space="preserve"> из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NUMPAGES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>
      <w:rPr>
        <w:rFonts w:ascii="Arial Narrow" w:hAnsi="Arial Narrow"/>
        <w:b/>
        <w:noProof/>
        <w:color w:val="808080"/>
        <w:sz w:val="16"/>
        <w:szCs w:val="16"/>
      </w:rPr>
      <w:t>11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93"/>
    <w:rsid w:val="000B0A93"/>
    <w:rsid w:val="0018256A"/>
    <w:rsid w:val="0089003F"/>
    <w:rsid w:val="009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9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0B0A93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9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0B0A93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Калайтанов</dc:creator>
  <cp:keywords/>
  <dc:description/>
  <cp:lastModifiedBy>Калайтанов</cp:lastModifiedBy>
  <cp:revision>1</cp:revision>
  <dcterms:created xsi:type="dcterms:W3CDTF">2016-12-12T11:23:00Z</dcterms:created>
  <dcterms:modified xsi:type="dcterms:W3CDTF">2016-12-12T11:24:00Z</dcterms:modified>
</cp:coreProperties>
</file>