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Социальная реабилитация инвалидов средствами физической культуры и спорта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 xml:space="preserve">Исследование проходило в 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2017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 xml:space="preserve">году в рамках организации международного турнира по теннису на колясках </w:t>
      </w:r>
      <w:r>
        <w:rPr>
          <w:rFonts w:ascii="Times New Roman" w:hAnsi="Times New Roman"/>
          <w:color w:val="454545"/>
          <w:sz w:val="24"/>
          <w:szCs w:val="24"/>
          <w:rtl w:val="0"/>
          <w:lang w:val="en-US"/>
        </w:rPr>
        <w:t xml:space="preserve">MegaFon DreamCup ITF UNIQLO </w:t>
      </w:r>
      <w:r>
        <w:rPr>
          <w:rFonts w:ascii="Times New Roman" w:hAnsi="Times New Roman"/>
          <w:color w:val="454545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color w:val="454545"/>
          <w:sz w:val="24"/>
          <w:szCs w:val="24"/>
          <w:rtl w:val="0"/>
          <w:lang w:val="en-US"/>
        </w:rPr>
        <w:t xml:space="preserve">heelchair Tennis Tour 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 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2017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в Санкт</w:t>
      </w:r>
      <w:r>
        <w:rPr>
          <w:rFonts w:ascii="Times New Roman" w:hAnsi="Times New Roman"/>
          <w:color w:val="454545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Петербурге</w:t>
      </w:r>
      <w:r>
        <w:rPr>
          <w:rFonts w:ascii="Times New Roman" w:hAnsi="Times New Roman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</w:rPr>
        <w:t>Цель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анализ позитивных практик социальной реабилитации инвалидов средствами физической культуры и спорта в России и за рубежом</w:t>
      </w:r>
      <w:r>
        <w:rPr>
          <w:rFonts w:ascii="Times New Roman" w:hAnsi="Times New Roman"/>
          <w:color w:val="454545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Результаты</w:t>
      </w:r>
      <w:r>
        <w:rPr>
          <w:rFonts w:ascii="Times New Roman" w:hAnsi="Times New Roman"/>
          <w:color w:val="454545"/>
          <w:sz w:val="24"/>
          <w:szCs w:val="24"/>
          <w:rtl w:val="0"/>
        </w:rPr>
        <w:t>: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 Работа проводилась совместно с тренерами по теннису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медицинскими сотрудниками и психологами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При занятиях теннисом было выявлено улучшение физического и личностного состояния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В целом теннис представляет собой гармоничный вид спорта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является основой для психической и физической реабилитации детей и в взрослых с ограничением жизнедеятельности</w:t>
      </w:r>
      <w:r>
        <w:rPr>
          <w:rFonts w:ascii="Times New Roman" w:hAnsi="Times New Roman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54545"/>
          <w:sz w:val="24"/>
          <w:szCs w:val="24"/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Руководитель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Бражник Евгения Ивановна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д</w:t>
      </w:r>
      <w:r>
        <w:rPr>
          <w:rFonts w:ascii="Times New Roman" w:hAnsi="Times New Roman"/>
          <w:color w:val="454545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пед</w:t>
      </w:r>
      <w:r>
        <w:rPr>
          <w:rFonts w:ascii="Times New Roman" w:hAnsi="Times New Roman"/>
          <w:color w:val="454545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>н</w:t>
      </w:r>
      <w:r>
        <w:rPr>
          <w:rFonts w:ascii="Times New Roman" w:hAnsi="Times New Roman"/>
          <w:color w:val="454545"/>
          <w:sz w:val="24"/>
          <w:szCs w:val="24"/>
          <w:rtl w:val="0"/>
        </w:rPr>
        <w:t>.,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заведующий кафедрой воспитания и социализации</w:t>
      </w:r>
      <w:r>
        <w:rPr>
          <w:rFonts w:ascii="Times New Roman" w:hAnsi="Times New Roman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аботу выполнила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Костичева Виктория Игоревна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54545"/>
          <w:sz w:val="24"/>
          <w:szCs w:val="24"/>
          <w:rtl w:val="0"/>
        </w:rPr>
        <w:t xml:space="preserve">студентка </w:t>
      </w:r>
      <w:r>
        <w:rPr>
          <w:rFonts w:ascii="Times New Roman" w:hAnsi="Times New Roman"/>
          <w:color w:val="454545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>курса магистратуры по направлению «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en-US"/>
        </w:rPr>
        <w:t>Социальная</w:t>
      </w:r>
      <w:r>
        <w:rPr>
          <w:rFonts w:ascii="Times New Roman" w:hAnsi="Times New Roman" w:hint="default"/>
          <w:color w:val="454545"/>
          <w:sz w:val="24"/>
          <w:szCs w:val="24"/>
          <w:rtl w:val="0"/>
          <w:lang w:val="ru-RU"/>
        </w:rPr>
        <w:t xml:space="preserve"> работа»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